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Grums kommunfullmäktige</w:t>
      </w:r>
    </w:p>
    <w:p>
      <w:pPr>
        <w:pStyle w:val="Heading1"/>
      </w:pPr>
      <w:r>
        <w:t xml:space="preserve">Fler behöriga lärare i Grums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Grums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Grums meritvärde årskurs 9 ligger på 215 poäng 2024, under rikssnittet (Kolada). Lärarbehörigheten är 78 % (Skolverket). Rekryteringsproblem leder till högre sjukskrivningar och sämre kunskapsresultat. Tidiga insatser krävs för att vända trenden.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Grums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ta fram en treårig rekryteringsplan för behöriga lärare.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lönepåslag om 3 000 kr/månad införs för legitimerade lärare i Grums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mentorskapsprogram startas för nya lärare i samverkan med Karlstads universitet.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lärarbehörighet och meritvärde redovisas till kommunfullmäktige.</w:t>
      </w:r>
    </w:p>
    <w:p>
      <w:pPr>
        <w:spacing w:before="360"/>
      </w:pPr>
    </w:p>
    <w:p>
      <w:r>
        <w:t xml:space="preserve">Grums,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Grums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2026-07-14T03:06:22.606Z</dcterms:created>
  <dcterms:modified xsi:type="dcterms:W3CDTF">2026-07-14T03:06:22.606Z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